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388" w:rsidRDefault="000F138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F1388" w:rsidRDefault="000F1388">
      <w:pPr>
        <w:pStyle w:val="ConsPlusNormal"/>
        <w:jc w:val="both"/>
        <w:outlineLvl w:val="0"/>
      </w:pPr>
    </w:p>
    <w:p w:rsidR="000F1388" w:rsidRDefault="000F1388">
      <w:pPr>
        <w:pStyle w:val="ConsPlusNormal"/>
        <w:jc w:val="both"/>
        <w:outlineLvl w:val="0"/>
      </w:pPr>
      <w:r>
        <w:t>Зарегистрировано в Минюсте России 27 августа 2020 г. N 59498</w:t>
      </w:r>
    </w:p>
    <w:p w:rsidR="000F1388" w:rsidRDefault="000F13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Title"/>
        <w:jc w:val="center"/>
      </w:pPr>
      <w:r>
        <w:t>МИНИСТЕРСТВО НАУКИ И ВЫСШЕГО ОБРАЗОВАНИЯ</w:t>
      </w:r>
    </w:p>
    <w:p w:rsidR="000F1388" w:rsidRDefault="000F1388">
      <w:pPr>
        <w:pStyle w:val="ConsPlusTitle"/>
        <w:jc w:val="center"/>
      </w:pPr>
      <w:r>
        <w:t>РОССИЙСКОЙ ФЕДЕРАЦИИ</w:t>
      </w:r>
    </w:p>
    <w:p w:rsidR="000F1388" w:rsidRDefault="000F1388">
      <w:pPr>
        <w:pStyle w:val="ConsPlusTitle"/>
        <w:jc w:val="center"/>
      </w:pPr>
    </w:p>
    <w:p w:rsidR="000F1388" w:rsidRDefault="000F1388">
      <w:pPr>
        <w:pStyle w:val="ConsPlusTitle"/>
        <w:jc w:val="center"/>
      </w:pPr>
      <w:r>
        <w:t>ПРИКАЗ</w:t>
      </w:r>
    </w:p>
    <w:p w:rsidR="000F1388" w:rsidRDefault="000F1388">
      <w:pPr>
        <w:pStyle w:val="ConsPlusTitle"/>
        <w:jc w:val="center"/>
      </w:pPr>
      <w:r>
        <w:t>от 13 августа 2020 г. N 1015</w:t>
      </w:r>
    </w:p>
    <w:p w:rsidR="000F1388" w:rsidRDefault="000F1388">
      <w:pPr>
        <w:pStyle w:val="ConsPlusTitle"/>
        <w:jc w:val="center"/>
      </w:pPr>
    </w:p>
    <w:p w:rsidR="000F1388" w:rsidRDefault="000F1388">
      <w:pPr>
        <w:pStyle w:val="ConsPlusTitle"/>
        <w:jc w:val="center"/>
      </w:pPr>
      <w:r>
        <w:t>ОБ УТВЕРЖДЕНИИ</w:t>
      </w:r>
    </w:p>
    <w:p w:rsidR="000F1388" w:rsidRDefault="000F138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F1388" w:rsidRDefault="000F138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F1388" w:rsidRDefault="000F1388">
      <w:pPr>
        <w:pStyle w:val="ConsPlusTitle"/>
        <w:jc w:val="center"/>
      </w:pPr>
      <w:r>
        <w:t>54.03.01 ДИЗАЙН</w:t>
      </w:r>
    </w:p>
    <w:p w:rsidR="000F1388" w:rsidRDefault="000F13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F1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88" w:rsidRDefault="000F13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88" w:rsidRDefault="000F13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388" w:rsidRDefault="000F13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88" w:rsidRDefault="000F13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F1388" w:rsidRDefault="000F13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88" w:rsidRDefault="000F1388">
            <w:pPr>
              <w:pStyle w:val="ConsPlusNormal"/>
            </w:pPr>
          </w:p>
        </w:tc>
      </w:tr>
    </w:tbl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54.03.01 Дизайн (далее - стандарт).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54.03.01 Дизайн (уровень бакалавриата), утвержденным приказом Министерства образования и науки Российской Федерации от 11 августа 2016 г. N 1004 (зарегистрирован Министерством юстиции Российской Федерации 25 августа 2016 г., регистрационный N 43405), прекращается 31 декабря 2020 года.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right"/>
      </w:pPr>
      <w:r>
        <w:t>Врио Министра</w:t>
      </w:r>
    </w:p>
    <w:p w:rsidR="000F1388" w:rsidRDefault="000F1388">
      <w:pPr>
        <w:pStyle w:val="ConsPlusNormal"/>
        <w:jc w:val="right"/>
      </w:pPr>
      <w:r>
        <w:t>А.В.НАРУКАВНИКОВ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right"/>
        <w:outlineLvl w:val="0"/>
      </w:pPr>
      <w:r>
        <w:t>Приложение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right"/>
      </w:pPr>
      <w:r>
        <w:t>Утвержден</w:t>
      </w:r>
    </w:p>
    <w:p w:rsidR="000F1388" w:rsidRDefault="000F1388">
      <w:pPr>
        <w:pStyle w:val="ConsPlusNormal"/>
        <w:jc w:val="right"/>
      </w:pPr>
      <w:r>
        <w:lastRenderedPageBreak/>
        <w:t>приказом Министерства науки</w:t>
      </w:r>
    </w:p>
    <w:p w:rsidR="000F1388" w:rsidRDefault="000F1388">
      <w:pPr>
        <w:pStyle w:val="ConsPlusNormal"/>
        <w:jc w:val="right"/>
      </w:pPr>
      <w:r>
        <w:t>и высшего образования</w:t>
      </w:r>
    </w:p>
    <w:p w:rsidR="000F1388" w:rsidRDefault="000F1388">
      <w:pPr>
        <w:pStyle w:val="ConsPlusNormal"/>
        <w:jc w:val="right"/>
      </w:pPr>
      <w:r>
        <w:t>Российской Федерации</w:t>
      </w:r>
    </w:p>
    <w:p w:rsidR="000F1388" w:rsidRDefault="000F1388">
      <w:pPr>
        <w:pStyle w:val="ConsPlusNormal"/>
        <w:jc w:val="right"/>
      </w:pPr>
      <w:r>
        <w:t>от 13 августа 2020 г. N 1015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0F1388" w:rsidRDefault="000F138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0F1388" w:rsidRDefault="000F1388">
      <w:pPr>
        <w:pStyle w:val="ConsPlusTitle"/>
        <w:jc w:val="center"/>
      </w:pPr>
      <w:r>
        <w:t>54.03.01 ДИЗАЙН</w:t>
      </w:r>
    </w:p>
    <w:p w:rsidR="000F1388" w:rsidRDefault="000F13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F13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88" w:rsidRDefault="000F13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88" w:rsidRDefault="000F13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1388" w:rsidRDefault="000F13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F1388" w:rsidRDefault="000F13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F1388" w:rsidRDefault="000F13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1388" w:rsidRDefault="000F1388">
            <w:pPr>
              <w:pStyle w:val="ConsPlusNormal"/>
            </w:pPr>
          </w:p>
        </w:tc>
      </w:tr>
    </w:tbl>
    <w:p w:rsidR="000F1388" w:rsidRDefault="000F1388">
      <w:pPr>
        <w:pStyle w:val="ConsPlusNormal"/>
        <w:jc w:val="both"/>
      </w:pPr>
    </w:p>
    <w:p w:rsidR="000F1388" w:rsidRDefault="000F1388">
      <w:pPr>
        <w:pStyle w:val="ConsPlusTitle"/>
        <w:jc w:val="center"/>
        <w:outlineLvl w:val="1"/>
      </w:pPr>
      <w:r>
        <w:t>I. Общие положения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54.03.01 Дизайн (далее соответственно - программа бакалавриата, направление подготовки).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 и очно-заочной формах.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Реализация программы бакалавриата с применением исключительно электронного обучения, дистанционных образовательных технологий не допускается &lt;1&gt;.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&lt;1&gt;</w:t>
      </w:r>
      <w:hyperlink r:id="rId14">
        <w:r>
          <w:rPr>
            <w:color w:val="0000FF"/>
          </w:rPr>
          <w:t>Часть 3 статьи 16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1.6. Реализация программы бакалавриата осуществляется Организацией как </w:t>
      </w:r>
      <w:r>
        <w:lastRenderedPageBreak/>
        <w:t>самостоятельно, так и посредством сетевой формы.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&lt;2&gt;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bookmarkStart w:id="1" w:name="P64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0F1388" w:rsidRDefault="000F1388">
      <w:pPr>
        <w:pStyle w:val="ConsPlusNormal"/>
        <w:spacing w:before="220"/>
        <w:ind w:firstLine="540"/>
        <w:jc w:val="both"/>
      </w:pPr>
      <w:bookmarkStart w:id="2" w:name="P68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4">
        <w:r>
          <w:rPr>
            <w:color w:val="0000FF"/>
          </w:rPr>
          <w:t>пунктами 1.8</w:t>
        </w:r>
      </w:hyperlink>
      <w:r>
        <w:t xml:space="preserve"> и </w:t>
      </w:r>
      <w:hyperlink w:anchor="P68">
        <w:r>
          <w:rPr>
            <w:color w:val="0000FF"/>
          </w:rPr>
          <w:t>1.9</w:t>
        </w:r>
      </w:hyperlink>
      <w:r>
        <w:t xml:space="preserve"> ФГОС ВО: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0F1388" w:rsidRDefault="000F1388">
      <w:pPr>
        <w:pStyle w:val="ConsPlusNormal"/>
        <w:spacing w:before="220"/>
        <w:ind w:firstLine="540"/>
        <w:jc w:val="both"/>
      </w:pPr>
      <w:bookmarkStart w:id="3" w:name="P73"/>
      <w:bookmarkEnd w:id="3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&lt;3&gt;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hyperlink r:id="rId17">
        <w:r>
          <w:rPr>
            <w:color w:val="0000FF"/>
          </w:rPr>
          <w:t>01</w:t>
        </w:r>
      </w:hyperlink>
      <w:r>
        <w:t xml:space="preserve"> Образование и наука (в сферах: дошкольного, начального общего, основного общего образования, профессионального образования, дополнительного образования; научных исследований);</w:t>
      </w:r>
    </w:p>
    <w:p w:rsidR="000F1388" w:rsidRDefault="000F1388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04</w:t>
        </w:r>
      </w:hyperlink>
      <w:r>
        <w:t xml:space="preserve"> Культура, искусство (в сферах: дизайна; культурно-просветительской и художественно-творческой деятельности; изобразительного искусства);</w:t>
      </w:r>
    </w:p>
    <w:p w:rsidR="000F1388" w:rsidRDefault="000F1388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10</w:t>
        </w:r>
      </w:hyperlink>
      <w:r>
        <w:t xml:space="preserve"> Архитектура, проектирование, геодезия, топография и дизайн (в сфере дизайна);</w:t>
      </w:r>
    </w:p>
    <w:p w:rsidR="000F1388" w:rsidRDefault="000F1388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11</w:t>
        </w:r>
      </w:hyperlink>
      <w:r>
        <w:t xml:space="preserve"> Средства массовой информации, издательство и полиграфия (в сфере дизайна);</w:t>
      </w:r>
    </w:p>
    <w:p w:rsidR="000F1388" w:rsidRDefault="000F1388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21</w:t>
        </w:r>
      </w:hyperlink>
      <w:r>
        <w:t xml:space="preserve"> Легкая и текстильная промышленность (в сфере дизайна);</w:t>
      </w:r>
    </w:p>
    <w:p w:rsidR="000F1388" w:rsidRDefault="000F1388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31</w:t>
        </w:r>
      </w:hyperlink>
      <w:r>
        <w:t xml:space="preserve"> Автомобилестроение (в сфере дизайна);</w:t>
      </w:r>
    </w:p>
    <w:p w:rsidR="000F1388" w:rsidRDefault="000F1388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(в сфере дизайна).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F1388" w:rsidRDefault="000F1388">
      <w:pPr>
        <w:pStyle w:val="ConsPlusNormal"/>
        <w:spacing w:before="220"/>
        <w:ind w:firstLine="540"/>
        <w:jc w:val="both"/>
      </w:pPr>
      <w:bookmarkStart w:id="4" w:name="P8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художественный;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проектный;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информационно-технологический;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0F1388" w:rsidRDefault="000F1388">
      <w:pPr>
        <w:pStyle w:val="ConsPlusNormal"/>
        <w:spacing w:before="220"/>
        <w:ind w:firstLine="540"/>
        <w:jc w:val="both"/>
      </w:pPr>
      <w:hyperlink w:anchor="P111">
        <w:r>
          <w:rPr>
            <w:color w:val="0000FF"/>
          </w:rPr>
          <w:t>Блок 1</w:t>
        </w:r>
      </w:hyperlink>
      <w:r>
        <w:t>"Дисциплины (модули)";</w:t>
      </w:r>
    </w:p>
    <w:p w:rsidR="000F1388" w:rsidRDefault="000F1388">
      <w:pPr>
        <w:pStyle w:val="ConsPlusNormal"/>
        <w:spacing w:before="220"/>
        <w:ind w:firstLine="540"/>
        <w:jc w:val="both"/>
      </w:pPr>
      <w:hyperlink w:anchor="P114">
        <w:r>
          <w:rPr>
            <w:color w:val="0000FF"/>
          </w:rPr>
          <w:t>Блок 2</w:t>
        </w:r>
      </w:hyperlink>
      <w:r>
        <w:t>"Практика";</w:t>
      </w:r>
    </w:p>
    <w:p w:rsidR="000F1388" w:rsidRDefault="000F1388">
      <w:pPr>
        <w:pStyle w:val="ConsPlusNormal"/>
        <w:spacing w:before="220"/>
        <w:ind w:firstLine="540"/>
        <w:jc w:val="both"/>
      </w:pPr>
      <w:hyperlink w:anchor="P117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right"/>
      </w:pPr>
      <w:r>
        <w:t>Таблица</w:t>
      </w:r>
    </w:p>
    <w:p w:rsidR="000F1388" w:rsidRDefault="000F13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4309"/>
        <w:gridCol w:w="3628"/>
      </w:tblGrid>
      <w:tr w:rsidR="000F1388">
        <w:tc>
          <w:tcPr>
            <w:tcW w:w="5443" w:type="dxa"/>
            <w:gridSpan w:val="2"/>
          </w:tcPr>
          <w:p w:rsidR="000F1388" w:rsidRDefault="000F1388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28" w:type="dxa"/>
          </w:tcPr>
          <w:p w:rsidR="000F1388" w:rsidRDefault="000F1388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0F1388">
        <w:tc>
          <w:tcPr>
            <w:tcW w:w="1134" w:type="dxa"/>
            <w:vAlign w:val="center"/>
          </w:tcPr>
          <w:p w:rsidR="000F1388" w:rsidRDefault="000F1388">
            <w:pPr>
              <w:pStyle w:val="ConsPlusNormal"/>
              <w:jc w:val="center"/>
            </w:pPr>
            <w:bookmarkStart w:id="5" w:name="P111"/>
            <w:bookmarkEnd w:id="5"/>
            <w:r>
              <w:t>Блок 1</w:t>
            </w:r>
          </w:p>
        </w:tc>
        <w:tc>
          <w:tcPr>
            <w:tcW w:w="4309" w:type="dxa"/>
            <w:vAlign w:val="center"/>
          </w:tcPr>
          <w:p w:rsidR="000F1388" w:rsidRDefault="000F138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28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не менее 180</w:t>
            </w:r>
          </w:p>
        </w:tc>
      </w:tr>
      <w:tr w:rsidR="000F1388">
        <w:tc>
          <w:tcPr>
            <w:tcW w:w="1134" w:type="dxa"/>
            <w:vAlign w:val="center"/>
          </w:tcPr>
          <w:p w:rsidR="000F1388" w:rsidRDefault="000F1388">
            <w:pPr>
              <w:pStyle w:val="ConsPlusNormal"/>
              <w:jc w:val="center"/>
            </w:pPr>
            <w:bookmarkStart w:id="6" w:name="P114"/>
            <w:bookmarkEnd w:id="6"/>
            <w:r>
              <w:t>Блок 2</w:t>
            </w:r>
          </w:p>
        </w:tc>
        <w:tc>
          <w:tcPr>
            <w:tcW w:w="4309" w:type="dxa"/>
            <w:vAlign w:val="center"/>
          </w:tcPr>
          <w:p w:rsidR="000F1388" w:rsidRDefault="000F1388">
            <w:pPr>
              <w:pStyle w:val="ConsPlusNormal"/>
            </w:pPr>
            <w:r>
              <w:t>Практика</w:t>
            </w:r>
          </w:p>
        </w:tc>
        <w:tc>
          <w:tcPr>
            <w:tcW w:w="3628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0F1388">
        <w:tc>
          <w:tcPr>
            <w:tcW w:w="1134" w:type="dxa"/>
            <w:vAlign w:val="center"/>
          </w:tcPr>
          <w:p w:rsidR="000F1388" w:rsidRDefault="000F1388">
            <w:pPr>
              <w:pStyle w:val="ConsPlusNormal"/>
              <w:jc w:val="center"/>
            </w:pPr>
            <w:bookmarkStart w:id="7" w:name="P117"/>
            <w:bookmarkEnd w:id="7"/>
            <w:r>
              <w:t>Блок 3</w:t>
            </w:r>
          </w:p>
        </w:tc>
        <w:tc>
          <w:tcPr>
            <w:tcW w:w="4309" w:type="dxa"/>
            <w:vAlign w:val="center"/>
          </w:tcPr>
          <w:p w:rsidR="000F1388" w:rsidRDefault="000F138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28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6 - 9</w:t>
            </w:r>
          </w:p>
        </w:tc>
      </w:tr>
      <w:tr w:rsidR="000F1388">
        <w:tc>
          <w:tcPr>
            <w:tcW w:w="5443" w:type="dxa"/>
            <w:gridSpan w:val="2"/>
            <w:vAlign w:val="center"/>
          </w:tcPr>
          <w:p w:rsidR="000F1388" w:rsidRDefault="000F1388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28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240</w:t>
            </w:r>
          </w:p>
        </w:tc>
      </w:tr>
    </w:tbl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bookmarkStart w:id="8" w:name="P123"/>
      <w:bookmarkEnd w:id="8"/>
      <w:r>
        <w:t xml:space="preserve">2.2. Программа бакалавриата в рамках </w:t>
      </w:r>
      <w:hyperlink w:anchor="P111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форме обучения не менее 40 процентов объема, отводимого на реализацию указанной дисциплины (модуля).</w:t>
      </w:r>
    </w:p>
    <w:p w:rsidR="000F1388" w:rsidRDefault="000F1388">
      <w:pPr>
        <w:pStyle w:val="ConsPlusNormal"/>
        <w:jc w:val="both"/>
      </w:pPr>
      <w:r>
        <w:t xml:space="preserve">(п. 2.2 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11">
        <w:r>
          <w:rPr>
            <w:color w:val="0000FF"/>
          </w:rPr>
          <w:t>Блока 1</w:t>
        </w:r>
      </w:hyperlink>
      <w:r>
        <w:t>"Дисциплины (модули)";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0F1388" w:rsidRDefault="000F1388">
      <w:pPr>
        <w:pStyle w:val="ConsPlusNormal"/>
        <w:spacing w:before="220"/>
        <w:ind w:firstLine="540"/>
        <w:jc w:val="both"/>
      </w:pPr>
      <w:bookmarkStart w:id="9" w:name="P131"/>
      <w:bookmarkEnd w:id="9"/>
      <w:r>
        <w:t xml:space="preserve">2.4. В </w:t>
      </w:r>
      <w:hyperlink w:anchor="P114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учебно-ознакомительная практика;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lastRenderedPageBreak/>
        <w:t>научно-исследовательская работа (получение первичных навыков научно-исследовательской работы).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проектно-технологическая практика;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преддипломная практика.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3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2.6. Организация: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31">
        <w:r>
          <w:rPr>
            <w:color w:val="0000FF"/>
          </w:rPr>
          <w:t>пункте 2.4</w:t>
        </w:r>
      </w:hyperlink>
      <w:r>
        <w:t xml:space="preserve"> ФГОС ВО;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7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23">
        <w:r>
          <w:rPr>
            <w:color w:val="0000FF"/>
          </w:rPr>
          <w:t>пункте 2.2</w:t>
        </w:r>
      </w:hyperlink>
      <w:r>
        <w:t xml:space="preserve"> ФГОС ВО;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11">
        <w:r>
          <w:rPr>
            <w:color w:val="0000FF"/>
          </w:rPr>
          <w:t>Блока 1</w:t>
        </w:r>
      </w:hyperlink>
      <w:r>
        <w:t>"Дисциплины (модули)".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60 процентов общего объема программы бакалавриата.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lastRenderedPageBreak/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2.11. Реализация части (частей) программы бакалавриата, направленной (направленных) на подготовку выпускников к творческой профессиональной деятельности, и проведение государственной итоговой аттестации не допускаются с применением электронного обучения, дистанционных образовательных технологий.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2.12. При реализации программы бакалавриата аудиторная контактная работа предусматривает групповую работу обучающихся с преподавателем (в группах численностью от двух человек) и индивидуальную работу обучающихся с преподавателем.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Объем контактной работы обучающихся с педагогическими работниками Организации при проведении учебных занятий по программе бакалавриата должен составлять в очной форме обучения - не менее 30 процентов, в очно-заочной форме обучения - от 10 процентов до 20 процентов общего объема времени, отводимого на реализацию дисциплин (модулей).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F1388" w:rsidRDefault="000F1388">
      <w:pPr>
        <w:pStyle w:val="ConsPlusTitle"/>
        <w:jc w:val="center"/>
      </w:pPr>
      <w:r>
        <w:t>программы бакалавриата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0F1388" w:rsidRDefault="000F13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F1388">
        <w:tc>
          <w:tcPr>
            <w:tcW w:w="2438" w:type="dxa"/>
          </w:tcPr>
          <w:p w:rsidR="000F1388" w:rsidRDefault="000F138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633" w:type="dxa"/>
          </w:tcPr>
          <w:p w:rsidR="000F1388" w:rsidRDefault="000F138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t>Коммуникация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F1388">
        <w:tc>
          <w:tcPr>
            <w:tcW w:w="2438" w:type="dxa"/>
            <w:vMerge w:val="restart"/>
            <w:vAlign w:val="center"/>
          </w:tcPr>
          <w:p w:rsidR="000F1388" w:rsidRDefault="000F1388">
            <w:pPr>
              <w:pStyle w:val="ConsPlusNormal"/>
            </w:pPr>
            <w:r>
              <w:t xml:space="preserve">Самоорганизация и саморазвитие (в том числе </w:t>
            </w:r>
            <w:r>
              <w:lastRenderedPageBreak/>
              <w:t>здоровьесбережение)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lastRenderedPageBreak/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F1388">
        <w:tc>
          <w:tcPr>
            <w:tcW w:w="2438" w:type="dxa"/>
            <w:vMerge/>
          </w:tcPr>
          <w:p w:rsidR="000F1388" w:rsidRDefault="000F1388">
            <w:pPr>
              <w:pStyle w:val="ConsPlusNormal"/>
            </w:pP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lastRenderedPageBreak/>
              <w:t>Безопасность жизнедеятельности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633" w:type="dxa"/>
            <w:vAlign w:val="center"/>
          </w:tcPr>
          <w:p w:rsidR="000F1388" w:rsidRDefault="000F1388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0F1388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</w:tcPr>
          <w:p w:rsidR="000F1388" w:rsidRDefault="000F1388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633" w:type="dxa"/>
            <w:tcBorders>
              <w:bottom w:val="nil"/>
            </w:tcBorders>
          </w:tcPr>
          <w:p w:rsidR="000F1388" w:rsidRDefault="000F1388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0F138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F1388" w:rsidRDefault="000F1388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0F1388" w:rsidRDefault="000F13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0F1388">
        <w:tc>
          <w:tcPr>
            <w:tcW w:w="2438" w:type="dxa"/>
          </w:tcPr>
          <w:p w:rsidR="000F1388" w:rsidRDefault="000F138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633" w:type="dxa"/>
          </w:tcPr>
          <w:p w:rsidR="000F1388" w:rsidRDefault="000F138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t>Профессиональная ориентация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ОПК-1. Способен применять знания в области истории и теории искусств, истории и теории дизайна в профессиональной деятельности; рассматривать произведения искусства, дизайна и техники в широком культурно-историческом контексте в тесной связи с религиозными, философскими и эстетическими идеями конкретного исторического периода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t>Научные исследования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ОПК-2. Способен работать с научной литературой; собирать, анализировать и обобщать результаты научных исследований; оценивать полученную информацию; самостоятельно проводить научно-исследовательскую работу; участвовать в научно-практических конференциях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t>Методы творческого процесса дизайнеров</w:t>
            </w:r>
          </w:p>
        </w:tc>
        <w:tc>
          <w:tcPr>
            <w:tcW w:w="6633" w:type="dxa"/>
            <w:vAlign w:val="center"/>
          </w:tcPr>
          <w:p w:rsidR="000F1388" w:rsidRDefault="000F1388">
            <w:pPr>
              <w:pStyle w:val="ConsPlusNormal"/>
              <w:jc w:val="both"/>
            </w:pPr>
            <w:r>
              <w:t xml:space="preserve">ОПК-3. Способен выполнять поисковые эскизы изобразительными средствами и способами проектной графики; разрабатывать проектную идею, основанную на концептуальном, творческом подходе к решению дизайнерской задачи; синтезировать набор возможных решений и научно обосновывать свои предложения при проектировании дизайн-объектов, удовлетворяющих утилитарные и эстетические потребности человека (техника и оборудование, транспортные средства, интерьеры, полиграфия, товары народного </w:t>
            </w:r>
            <w:r>
              <w:lastRenderedPageBreak/>
              <w:t>потребления)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lastRenderedPageBreak/>
              <w:t>Создание авторского дизайн-проекта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ОПК-4. Способен проектировать, моделировать, конструировать предметы, товары, промышленные образцы и коллекции, художественные предметно-пространственные комплексы, интерьеры зданий и сооружений архитектурно-пространственной среды, объекты ландшафтного дизайна, используя линейно-конструктивное построение, цветовое решение композиции, современную шрифтовую культуру и способы проектной графики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t>Организаторская деятельность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ОПК-5. Способен организовывать, проводить и участвовать в выставках, конкурсах, фестивалях и других творческих мероприятиях</w:t>
            </w:r>
          </w:p>
        </w:tc>
      </w:tr>
      <w:tr w:rsidR="000F1388">
        <w:tblPrEx>
          <w:tblBorders>
            <w:insideH w:val="nil"/>
          </w:tblBorders>
        </w:tblPrEx>
        <w:tc>
          <w:tcPr>
            <w:tcW w:w="2438" w:type="dxa"/>
            <w:tcBorders>
              <w:bottom w:val="nil"/>
            </w:tcBorders>
            <w:vAlign w:val="center"/>
          </w:tcPr>
          <w:p w:rsidR="000F1388" w:rsidRDefault="000F1388">
            <w:pPr>
              <w:pStyle w:val="ConsPlusNormal"/>
            </w:pPr>
            <w:r>
              <w:t>Информационно-коммуникационные технологии</w:t>
            </w:r>
          </w:p>
        </w:tc>
        <w:tc>
          <w:tcPr>
            <w:tcW w:w="6633" w:type="dxa"/>
            <w:tcBorders>
              <w:bottom w:val="nil"/>
            </w:tcBorders>
            <w:vAlign w:val="center"/>
          </w:tcPr>
          <w:p w:rsidR="000F1388" w:rsidRDefault="000F1388">
            <w:pPr>
              <w:pStyle w:val="ConsPlusNormal"/>
              <w:jc w:val="both"/>
            </w:pPr>
            <w:r>
              <w:t>ОПК-6.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0F138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0F1388" w:rsidRDefault="000F1388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t>Педагогическая деятельность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ОПК-7. Способен осуществлять педагогическую деятельность в сфере дошкольного, начального общего, основного общего, среднего общего образования, профессионального обучения и дополнительного образования</w:t>
            </w:r>
          </w:p>
        </w:tc>
      </w:tr>
      <w:tr w:rsidR="000F1388">
        <w:tc>
          <w:tcPr>
            <w:tcW w:w="2438" w:type="dxa"/>
            <w:vAlign w:val="center"/>
          </w:tcPr>
          <w:p w:rsidR="000F1388" w:rsidRDefault="000F1388">
            <w:pPr>
              <w:pStyle w:val="ConsPlusNormal"/>
            </w:pPr>
            <w:r>
              <w:t>Государственная культурная политика</w:t>
            </w:r>
          </w:p>
        </w:tc>
        <w:tc>
          <w:tcPr>
            <w:tcW w:w="6633" w:type="dxa"/>
            <w:vAlign w:val="bottom"/>
          </w:tcPr>
          <w:p w:rsidR="000F1388" w:rsidRDefault="000F1388">
            <w:pPr>
              <w:pStyle w:val="ConsPlusNormal"/>
              <w:jc w:val="both"/>
            </w:pPr>
            <w:r>
              <w:t>ОПК-8. Способен ориентироваться в проблематике современной культурной политики Российской Федерации</w:t>
            </w:r>
          </w:p>
        </w:tc>
      </w:tr>
    </w:tbl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4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&lt;4&gt;</w:t>
      </w:r>
      <w:hyperlink r:id="rId27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&lt;5&gt;</w:t>
      </w:r>
      <w:hyperlink r:id="rId28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7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11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7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lastRenderedPageBreak/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закон от 27 июля 2006 г. N 152-ФЗ "О персональных данных" (Собрание законодательства Российской Федерации, 2006, N 31, ст. 3451; 2020, N 17, ст. 2701).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</w:t>
      </w:r>
      <w:r>
        <w:lastRenderedPageBreak/>
        <w:t>производства (состав определяется в рабочих программах дисциплин (модулей) и подлежит обновлению при необходимости).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F1388" w:rsidRDefault="000F138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 xml:space="preserve">К педагогическим работникам и лицам, привлекаемым к образовательной деятельности на иных условиях, с учеными степенями и (или) учеными званиями приравниваются лица без ученых степеней и званий, имеющие государственные почетные звания (народный художник Российской </w:t>
      </w:r>
      <w:r>
        <w:lastRenderedPageBreak/>
        <w:t>Федерации, заслуженный деятель искусств Российской Федерации, заслуженный художник Российской Федерации, заслуженный работник культуры Российской Федерации); лауреаты государственных премий в области культуры и искусства; обладатели премий Правительства Российской Федерации в области культуры и искусства, действительные и почетные члены, члены-корреспонденты Российской академии художеств, Российской академии архитектуры и строительных наук; члены Союза художников Российской Федерации, Творческого союза художников Российской Федерации, Союза дизайнеров Российской Федерации, Союза архитекторов Российской Федерации.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&lt;7&gt;</w:t>
      </w:r>
      <w:hyperlink r:id="rId3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0F1388" w:rsidRDefault="000F1388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right"/>
        <w:outlineLvl w:val="1"/>
      </w:pPr>
      <w:r>
        <w:t>Приложение</w:t>
      </w:r>
    </w:p>
    <w:p w:rsidR="000F1388" w:rsidRDefault="000F1388">
      <w:pPr>
        <w:pStyle w:val="ConsPlusNormal"/>
        <w:jc w:val="right"/>
      </w:pPr>
      <w:r>
        <w:t>к федеральному государственному</w:t>
      </w:r>
    </w:p>
    <w:p w:rsidR="000F1388" w:rsidRDefault="000F1388">
      <w:pPr>
        <w:pStyle w:val="ConsPlusNormal"/>
        <w:jc w:val="right"/>
      </w:pPr>
      <w:r>
        <w:t>образовательному стандарту</w:t>
      </w:r>
    </w:p>
    <w:p w:rsidR="000F1388" w:rsidRDefault="000F1388">
      <w:pPr>
        <w:pStyle w:val="ConsPlusNormal"/>
        <w:jc w:val="right"/>
      </w:pPr>
      <w:r>
        <w:t>высшего образования - бакалавриат</w:t>
      </w:r>
    </w:p>
    <w:p w:rsidR="000F1388" w:rsidRDefault="000F1388">
      <w:pPr>
        <w:pStyle w:val="ConsPlusNormal"/>
        <w:jc w:val="right"/>
      </w:pPr>
      <w:r>
        <w:t>по направлению подготовки 54.03.01</w:t>
      </w:r>
    </w:p>
    <w:p w:rsidR="000F1388" w:rsidRDefault="000F1388">
      <w:pPr>
        <w:pStyle w:val="ConsPlusNormal"/>
        <w:jc w:val="right"/>
      </w:pPr>
      <w:r>
        <w:t>Дизайн, утвержденному приказом</w:t>
      </w:r>
    </w:p>
    <w:p w:rsidR="000F1388" w:rsidRDefault="000F1388">
      <w:pPr>
        <w:pStyle w:val="ConsPlusNormal"/>
        <w:jc w:val="right"/>
      </w:pPr>
      <w:r>
        <w:t>Министерства науки и высшего</w:t>
      </w:r>
    </w:p>
    <w:p w:rsidR="000F1388" w:rsidRDefault="000F1388">
      <w:pPr>
        <w:pStyle w:val="ConsPlusNormal"/>
        <w:jc w:val="right"/>
      </w:pPr>
      <w:r>
        <w:t>образования Российской Федерации</w:t>
      </w:r>
    </w:p>
    <w:p w:rsidR="000F1388" w:rsidRDefault="000F1388">
      <w:pPr>
        <w:pStyle w:val="ConsPlusNormal"/>
        <w:jc w:val="right"/>
      </w:pPr>
      <w:r>
        <w:t>от 13 августа 2019 г. N 1015</w:t>
      </w: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Title"/>
        <w:jc w:val="center"/>
      </w:pPr>
      <w:bookmarkStart w:id="10" w:name="P294"/>
      <w:bookmarkEnd w:id="10"/>
      <w:r>
        <w:t>ПЕРЕЧЕНЬ</w:t>
      </w:r>
    </w:p>
    <w:p w:rsidR="000F1388" w:rsidRDefault="000F1388">
      <w:pPr>
        <w:pStyle w:val="ConsPlusTitle"/>
        <w:jc w:val="center"/>
      </w:pPr>
      <w:r>
        <w:t>ПРОФЕССИОНАЛЬНЫХ СТАНДАРТОВ, СООТВЕТСТВУЮЩИХ</w:t>
      </w:r>
    </w:p>
    <w:p w:rsidR="000F1388" w:rsidRDefault="000F138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F1388" w:rsidRDefault="000F1388">
      <w:pPr>
        <w:pStyle w:val="ConsPlusTitle"/>
        <w:jc w:val="center"/>
      </w:pPr>
      <w:r>
        <w:t>ПРОГРАММУ БАКАЛАВРИАТА ПО НАПРАВЛЕНИЮ ПОДГОТОВКИ</w:t>
      </w:r>
    </w:p>
    <w:p w:rsidR="000F1388" w:rsidRDefault="000F1388">
      <w:pPr>
        <w:pStyle w:val="ConsPlusTitle"/>
        <w:jc w:val="center"/>
      </w:pPr>
      <w:r>
        <w:t>54.03.01 ДИЗАЙН</w:t>
      </w:r>
    </w:p>
    <w:p w:rsidR="000F1388" w:rsidRDefault="000F13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247"/>
        <w:gridCol w:w="7370"/>
      </w:tblGrid>
      <w:tr w:rsidR="000F1388">
        <w:tc>
          <w:tcPr>
            <w:tcW w:w="454" w:type="dxa"/>
          </w:tcPr>
          <w:p w:rsidR="000F1388" w:rsidRDefault="000F138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0F1388" w:rsidRDefault="000F138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370" w:type="dxa"/>
          </w:tcPr>
          <w:p w:rsidR="000F1388" w:rsidRDefault="000F138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F1388">
        <w:tc>
          <w:tcPr>
            <w:tcW w:w="9071" w:type="dxa"/>
            <w:gridSpan w:val="3"/>
            <w:vAlign w:val="bottom"/>
          </w:tcPr>
          <w:p w:rsidR="000F1388" w:rsidRDefault="000F1388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0F1388">
        <w:tc>
          <w:tcPr>
            <w:tcW w:w="454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7370" w:type="dxa"/>
            <w:vAlign w:val="bottom"/>
          </w:tcPr>
          <w:p w:rsidR="000F1388" w:rsidRDefault="000F138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0F1388">
        <w:tc>
          <w:tcPr>
            <w:tcW w:w="454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47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7370" w:type="dxa"/>
            <w:vAlign w:val="bottom"/>
          </w:tcPr>
          <w:p w:rsidR="000F1388" w:rsidRDefault="000F138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"Педагог дополнительного 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0F1388">
        <w:tc>
          <w:tcPr>
            <w:tcW w:w="9071" w:type="dxa"/>
            <w:gridSpan w:val="3"/>
            <w:vAlign w:val="bottom"/>
          </w:tcPr>
          <w:p w:rsidR="000F1388" w:rsidRDefault="000F1388">
            <w:pPr>
              <w:pStyle w:val="ConsPlusNormal"/>
              <w:jc w:val="center"/>
              <w:outlineLvl w:val="2"/>
            </w:pPr>
            <w:r>
              <w:t>11 Средства массовой информации, издательство и полиграфия</w:t>
            </w:r>
          </w:p>
        </w:tc>
      </w:tr>
      <w:tr w:rsidR="000F1388">
        <w:tc>
          <w:tcPr>
            <w:tcW w:w="454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247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11.013</w:t>
            </w:r>
          </w:p>
        </w:tc>
        <w:tc>
          <w:tcPr>
            <w:tcW w:w="7370" w:type="dxa"/>
          </w:tcPr>
          <w:p w:rsidR="000F1388" w:rsidRDefault="000F138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"Графический дизайнер", утвержденный приказом Министерства труда и социальной защиты Российской Федерации от 17 января 2017 г. N 40н (зарегистрирован Министерством юстиции Российской Федерации 27 января 2017 г., регистрационный N 45442)</w:t>
            </w:r>
          </w:p>
        </w:tc>
      </w:tr>
      <w:tr w:rsidR="000F1388">
        <w:tc>
          <w:tcPr>
            <w:tcW w:w="9071" w:type="dxa"/>
            <w:gridSpan w:val="3"/>
            <w:vAlign w:val="bottom"/>
          </w:tcPr>
          <w:p w:rsidR="000F1388" w:rsidRDefault="000F1388">
            <w:pPr>
              <w:pStyle w:val="ConsPlusNormal"/>
              <w:jc w:val="center"/>
              <w:outlineLvl w:val="2"/>
            </w:pPr>
            <w:r>
              <w:t>21 Легкая и текстильная промышленность</w:t>
            </w:r>
          </w:p>
        </w:tc>
      </w:tr>
      <w:tr w:rsidR="000F1388">
        <w:tc>
          <w:tcPr>
            <w:tcW w:w="454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247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21.001</w:t>
            </w:r>
          </w:p>
        </w:tc>
        <w:tc>
          <w:tcPr>
            <w:tcW w:w="7370" w:type="dxa"/>
            <w:vAlign w:val="bottom"/>
          </w:tcPr>
          <w:p w:rsidR="000F1388" w:rsidRDefault="000F138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"Дизайнер детской игровой среды и продукции", утвержденный приказом Министерства труда и социальной защиты Российской Федерации от 18 ноября 2014 г. N 892н (зарегистрирован Министерством юстиции Российской Федерации 9 декабря 2014 г., регистрационный N 35113),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F1388">
        <w:tc>
          <w:tcPr>
            <w:tcW w:w="454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247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21.002</w:t>
            </w:r>
          </w:p>
        </w:tc>
        <w:tc>
          <w:tcPr>
            <w:tcW w:w="7370" w:type="dxa"/>
            <w:vAlign w:val="bottom"/>
          </w:tcPr>
          <w:p w:rsidR="000F1388" w:rsidRDefault="000F138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"Дизайнер детской одежды и обуви", утвержденный приказом Министерства труда и социальной защиты Российской Федерации от 4 декабря 2014 г. N 974н (зарегистрирован Министерством юстиции Российской Федерации 17 декабря 2014 г., регистрационный N 35251),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F1388">
        <w:tc>
          <w:tcPr>
            <w:tcW w:w="9071" w:type="dxa"/>
            <w:gridSpan w:val="3"/>
            <w:vAlign w:val="bottom"/>
          </w:tcPr>
          <w:p w:rsidR="000F1388" w:rsidRDefault="000F1388">
            <w:pPr>
              <w:pStyle w:val="ConsPlusNormal"/>
              <w:jc w:val="center"/>
              <w:outlineLvl w:val="2"/>
            </w:pPr>
            <w:r>
              <w:t>31 Автомобилестроение</w:t>
            </w:r>
          </w:p>
        </w:tc>
      </w:tr>
      <w:tr w:rsidR="000F1388">
        <w:tc>
          <w:tcPr>
            <w:tcW w:w="454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247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31.006</w:t>
            </w:r>
          </w:p>
        </w:tc>
        <w:tc>
          <w:tcPr>
            <w:tcW w:w="7370" w:type="dxa"/>
            <w:vAlign w:val="bottom"/>
          </w:tcPr>
          <w:p w:rsidR="000F1388" w:rsidRDefault="000F138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"Дизайнер автомобилестроения", утвержденный приказом Министерства труда и социальной защиты Российской Федерации 28 октября 2014 г. N 813н (зарегистрирован Министерством юстиции Российской Федерации 26 ноября 2014 г., регистрационный N 34948)</w:t>
            </w:r>
          </w:p>
        </w:tc>
      </w:tr>
      <w:tr w:rsidR="000F1388">
        <w:tc>
          <w:tcPr>
            <w:tcW w:w="9071" w:type="dxa"/>
            <w:gridSpan w:val="3"/>
            <w:vAlign w:val="bottom"/>
          </w:tcPr>
          <w:p w:rsidR="000F1388" w:rsidRDefault="000F1388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0F1388">
        <w:tc>
          <w:tcPr>
            <w:tcW w:w="454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247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40.059</w:t>
            </w:r>
          </w:p>
        </w:tc>
        <w:tc>
          <w:tcPr>
            <w:tcW w:w="7370" w:type="dxa"/>
            <w:vAlign w:val="bottom"/>
          </w:tcPr>
          <w:p w:rsidR="000F1388" w:rsidRDefault="000F138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"Промышленный дизайнер (эргономист)", утвержденный приказом Министерства труда и социальной защиты Российской Федерации от 18 ноября 2014 г. N 894н (зарегистрирован Министерством юстиции Российской Федерации 16 декабря 2014 г., регистрационный N 35189),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F1388">
        <w:tc>
          <w:tcPr>
            <w:tcW w:w="454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247" w:type="dxa"/>
            <w:vAlign w:val="center"/>
          </w:tcPr>
          <w:p w:rsidR="000F1388" w:rsidRDefault="000F1388">
            <w:pPr>
              <w:pStyle w:val="ConsPlusNormal"/>
              <w:jc w:val="center"/>
            </w:pPr>
            <w:r>
              <w:t>40.137</w:t>
            </w:r>
          </w:p>
        </w:tc>
        <w:tc>
          <w:tcPr>
            <w:tcW w:w="7370" w:type="dxa"/>
            <w:vAlign w:val="bottom"/>
          </w:tcPr>
          <w:p w:rsidR="000F1388" w:rsidRDefault="000F138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"Дизайнер транспортных средств", утвержденный приказом Министерства труда и социальной защиты Российской Федерации от 29 декабря 2015 г. N 1174н (зарегистрирован Министерством юстиции Российской Федерации 28 января 2016 г., регистрационный N 40850)</w:t>
            </w:r>
          </w:p>
        </w:tc>
      </w:tr>
    </w:tbl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jc w:val="both"/>
      </w:pPr>
    </w:p>
    <w:p w:rsidR="000F1388" w:rsidRDefault="000F13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3ED0" w:rsidRDefault="003D3ED0"/>
    <w:sectPr w:rsidR="003D3ED0" w:rsidSect="00813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1388"/>
    <w:rsid w:val="000F1388"/>
    <w:rsid w:val="003D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3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F13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F13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D015233CADF30A96F0ED137B9E26CB99454476CF7672F7DF64D3EFDF355452BD1A4F9D62D0262F0EC331BFADB8AAA36F7420A8CCE18C01By7L" TargetMode="External"/><Relationship Id="rId13" Type="http://schemas.openxmlformats.org/officeDocument/2006/relationships/hyperlink" Target="consultantplus://offline/ref=E0CD015233CADF30A96F0ED137B9E26CB9955F476DF4672F7DF64D3EFDF355452BD1A4F9D62C0465FDEC331BFADB8AAA36F7420A8CCE18C01By7L" TargetMode="External"/><Relationship Id="rId18" Type="http://schemas.openxmlformats.org/officeDocument/2006/relationships/hyperlink" Target="consultantplus://offline/ref=E0CD015233CADF30A96F0ED137B9E26CBF90584767F7672F7DF64D3EFDF355452BD1A4F9D62D0262FFEC331BFADB8AAA36F7420A8CCE18C01By7L" TargetMode="External"/><Relationship Id="rId26" Type="http://schemas.openxmlformats.org/officeDocument/2006/relationships/hyperlink" Target="consultantplus://offline/ref=E0CD015233CADF30A96F0ED137B9E26CBE99594062FE672F7DF64D3EFDF355452BD1A4F9D62E0765F9EC331BFADB8AAA36F7420A8CCE18C01By7L" TargetMode="External"/><Relationship Id="rId39" Type="http://schemas.openxmlformats.org/officeDocument/2006/relationships/hyperlink" Target="consultantplus://offline/ref=E0CD015233CADF30A96F0ED137B9E26CBC985F486CFF672F7DF64D3EFDF355452BD1A4F9D62D0267F0EC331BFADB8AAA36F7420A8CCE18C01By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CD015233CADF30A96F0ED137B9E26CBF90584767F7672F7DF64D3EFDF355452BD1A4F9D62D026EF9EC331BFADB8AAA36F7420A8CCE18C01By7L" TargetMode="External"/><Relationship Id="rId34" Type="http://schemas.openxmlformats.org/officeDocument/2006/relationships/hyperlink" Target="consultantplus://offline/ref=E0CD015233CADF30A96F0ED137B9E26CBF905E4167F4672F7DF64D3EFDF355452BD1A4F9D62D0267F0EC331BFADB8AAA36F7420A8CCE18C01By7L" TargetMode="External"/><Relationship Id="rId7" Type="http://schemas.openxmlformats.org/officeDocument/2006/relationships/hyperlink" Target="consultantplus://offline/ref=E0CD015233CADF30A96F0ED137B9E26CB9955F476DF4672F7DF64D3EFDF355452BD1A4F9D62C0465FDEC331BFADB8AAA36F7420A8CCE18C01By7L" TargetMode="External"/><Relationship Id="rId12" Type="http://schemas.openxmlformats.org/officeDocument/2006/relationships/hyperlink" Target="consultantplus://offline/ref=E0CD015233CADF30A96F0ED137B9E26CB99354436DF5672F7DF64D3EFDF355452BD1A4F9D62D0565FCEC331BFADB8AAA36F7420A8CCE18C01By7L" TargetMode="External"/><Relationship Id="rId17" Type="http://schemas.openxmlformats.org/officeDocument/2006/relationships/hyperlink" Target="consultantplus://offline/ref=E0CD015233CADF30A96F0ED137B9E26CBF90584767F7672F7DF64D3EFDF355452BD1A4F9D62D0262F9EC331BFADB8AAA36F7420A8CCE18C01By7L" TargetMode="External"/><Relationship Id="rId25" Type="http://schemas.openxmlformats.org/officeDocument/2006/relationships/hyperlink" Target="consultantplus://offline/ref=E0CD015233CADF30A96F0ED137B9E26CB9955F476DF4672F7DF64D3EFDF355452BD1A4F9D62C0465FDEC331BFADB8AAA36F7420A8CCE18C01By7L" TargetMode="External"/><Relationship Id="rId33" Type="http://schemas.openxmlformats.org/officeDocument/2006/relationships/hyperlink" Target="consultantplus://offline/ref=E0CD015233CADF30A96F0ED137B9E26CBE91594865FE672F7DF64D3EFDF355452BD1A4F9D62D0266F9EC331BFADB8AAA36F7420A8CCE18C01By7L" TargetMode="External"/><Relationship Id="rId38" Type="http://schemas.openxmlformats.org/officeDocument/2006/relationships/hyperlink" Target="consultantplus://offline/ref=E0CD015233CADF30A96F0ED137B9E26CBF905D4667F5672F7DF64D3EFDF355452BD1A4F9D62D0266F9EC331BFADB8AAA36F7420A8CCE18C01By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CD015233CADF30A96F0ED137B9E26CBF90584767F7672F7DF64D3EFDF355452BD1A4F9D62D0263FEEC331BFADB8AAA36F7420A8CCE18C01By7L" TargetMode="External"/><Relationship Id="rId20" Type="http://schemas.openxmlformats.org/officeDocument/2006/relationships/hyperlink" Target="consultantplus://offline/ref=E0CD015233CADF30A96F0ED137B9E26CBF90584767F7672F7DF64D3EFDF355452BD1A4F9D62D0260F9EC331BFADB8AAA36F7420A8CCE18C01By7L" TargetMode="External"/><Relationship Id="rId29" Type="http://schemas.openxmlformats.org/officeDocument/2006/relationships/hyperlink" Target="consultantplus://offline/ref=E0CD015233CADF30A96F0ED137B9E26CB9945F4462FE672F7DF64D3EFDF3554539D1FCF5D62F1C66F8F9654ABC18yDL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CD015233CADF30A96F0ED137B9E26CB99354436DF5672F7DF64D3EFDF355452BD1A4F9D62D0565FCEC331BFADB8AAA36F7420A8CCE18C01By7L" TargetMode="External"/><Relationship Id="rId11" Type="http://schemas.openxmlformats.org/officeDocument/2006/relationships/hyperlink" Target="consultantplus://offline/ref=E0CD015233CADF30A96F0ED137B9E26CBE99594062FE672F7DF64D3EFDF355452BD1A4F9D62E0766FFEC331BFADB8AAA36F7420A8CCE18C01By7L" TargetMode="External"/><Relationship Id="rId24" Type="http://schemas.openxmlformats.org/officeDocument/2006/relationships/hyperlink" Target="consultantplus://offline/ref=E0CD015233CADF30A96F0ED137B9E26CB99354436DF5672F7DF64D3EFDF355452BD1A4F9D62D0565FCEC331BFADB8AAA36F7420A8CCE18C01By7L" TargetMode="External"/><Relationship Id="rId32" Type="http://schemas.openxmlformats.org/officeDocument/2006/relationships/hyperlink" Target="consultantplus://offline/ref=E0CD015233CADF30A96F0ED137B9E26CBF915F4865F2672F7DF64D3EFDF355452BD1A4F9D62D0266F9EC331BFADB8AAA36F7420A8CCE18C01By7L" TargetMode="External"/><Relationship Id="rId37" Type="http://schemas.openxmlformats.org/officeDocument/2006/relationships/hyperlink" Target="consultantplus://offline/ref=E0CD015233CADF30A96F0ED137B9E26CBC935A436DF0672F7DF64D3EFDF355452BD1A4F9D62D0267F0EC331BFADB8AAA36F7420A8CCE18C01By7L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E0CD015233CADF30A96F0ED137B9E26CBE99594062FE672F7DF64D3EFDF355452BD1A4F9D62E0766FFEC331BFADB8AAA36F7420A8CCE18C01By7L" TargetMode="External"/><Relationship Id="rId15" Type="http://schemas.openxmlformats.org/officeDocument/2006/relationships/hyperlink" Target="consultantplus://offline/ref=E0CD015233CADF30A96F0ED137B9E26CB9925B4465FE672F7DF64D3EFDF355452BD1A4F9D62D0063F0EC331BFADB8AAA36F7420A8CCE18C01By7L" TargetMode="External"/><Relationship Id="rId23" Type="http://schemas.openxmlformats.org/officeDocument/2006/relationships/hyperlink" Target="consultantplus://offline/ref=E0CD015233CADF30A96F0ED137B9E26CBF90584767F7672F7DF64D3EFDF355452BD1A4F9D62D0366FFEC331BFADB8AAA36F7420A8CCE18C01By7L" TargetMode="External"/><Relationship Id="rId28" Type="http://schemas.openxmlformats.org/officeDocument/2006/relationships/hyperlink" Target="consultantplus://offline/ref=E0CD015233CADF30A96F0ED137B9E26CBC955A4962F7672F7DF64D3EFDF3554539D1FCF5D62F1C66F8F9654ABC18yDL" TargetMode="External"/><Relationship Id="rId36" Type="http://schemas.openxmlformats.org/officeDocument/2006/relationships/hyperlink" Target="consultantplus://offline/ref=E0CD015233CADF30A96F0ED137B9E26CBF905D446CF0672F7DF64D3EFDF355452BD1A4F9D62D0267F0EC331BFADB8AAA36F7420A8CCE18C01By7L" TargetMode="External"/><Relationship Id="rId10" Type="http://schemas.openxmlformats.org/officeDocument/2006/relationships/hyperlink" Target="consultantplus://offline/ref=E0CD015233CADF30A96F0ED137B9E26CBF915F4962FF672F7DF64D3EFDF355452BD1A4F9D62D0266FAEC331BFADB8AAA36F7420A8CCE18C01By7L" TargetMode="External"/><Relationship Id="rId19" Type="http://schemas.openxmlformats.org/officeDocument/2006/relationships/hyperlink" Target="consultantplus://offline/ref=E0CD015233CADF30A96F0ED137B9E26CBF90584767F7672F7DF64D3EFDF355452BD1A4F9D62D0261F1EC331BFADB8AAA36F7420A8CCE18C01By7L" TargetMode="External"/><Relationship Id="rId31" Type="http://schemas.openxmlformats.org/officeDocument/2006/relationships/hyperlink" Target="consultantplus://offline/ref=E0CD015233CADF30A96F0ED137B9E26CB9955B436CF0672F7DF64D3EFDF355452BD1A4F9D62D0B63FEEC331BFADB8AAA36F7420A8CCE18C01By7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0CD015233CADF30A96F0ED137B9E26CBE98554361F5672F7DF64D3EFDF355452BD1A4F9D62D0260FBEC331BFADB8AAA36F7420A8CCE18C01By7L" TargetMode="External"/><Relationship Id="rId14" Type="http://schemas.openxmlformats.org/officeDocument/2006/relationships/hyperlink" Target="consultantplus://offline/ref=E0CD015233CADF30A96F0ED137B9E26CB9925B4465FE672F7DF64D3EFDF355452BD1A4FAD72A0933A8A33247BE8C99AB35F7410B901CyFL" TargetMode="External"/><Relationship Id="rId22" Type="http://schemas.openxmlformats.org/officeDocument/2006/relationships/hyperlink" Target="consultantplus://offline/ref=E0CD015233CADF30A96F0ED137B9E26CBF90584767F7672F7DF64D3EFDF355452BD1A4F9D62D0366F9EC331BFADB8AAA36F7420A8CCE18C01By7L" TargetMode="External"/><Relationship Id="rId27" Type="http://schemas.openxmlformats.org/officeDocument/2006/relationships/hyperlink" Target="consultantplus://offline/ref=E0CD015233CADF30A96F0ED137B9E26CBF90584767F7672F7DF64D3EFDF355452BD1A4F9D62D0267FFEC331BFADB8AAA36F7420A8CCE18C01By7L" TargetMode="External"/><Relationship Id="rId30" Type="http://schemas.openxmlformats.org/officeDocument/2006/relationships/hyperlink" Target="consultantplus://offline/ref=E0CD015233CADF30A96F0ED137B9E26CBE99594062FE672F7DF64D3EFDF355452BD1A4F9D62E0766FEEC331BFADB8AAA36F7420A8CCE18C01By7L" TargetMode="External"/><Relationship Id="rId35" Type="http://schemas.openxmlformats.org/officeDocument/2006/relationships/hyperlink" Target="consultantplus://offline/ref=E0CD015233CADF30A96F0ED137B9E26CBF905D4667F3672F7DF64D3EFDF355452BD1A4F9D62D0267F0EC331BFADB8AAA36F7420A8CCE18C01By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6673</Words>
  <Characters>38040</Characters>
  <Application>Microsoft Office Word</Application>
  <DocSecurity>0</DocSecurity>
  <Lines>317</Lines>
  <Paragraphs>89</Paragraphs>
  <ScaleCrop>false</ScaleCrop>
  <Company/>
  <LinksUpToDate>false</LinksUpToDate>
  <CharactersWithSpaces>44624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2023-11-02T11:50:00Z</dcterms:created>
  <dcterms:modified xsi:type="dcterms:W3CDTF">2023-11-02T11:51:00Z</dcterms:modified>
</cp:coreProperties>
</file>